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5">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 Immediate Release</w:t>
      </w:r>
    </w:p>
    <w:p w:rsidR="00000000" w:rsidDel="00000000" w:rsidP="00000000" w:rsidRDefault="00000000" w:rsidRPr="00000000" w14:paraId="00000006">
      <w:pPr>
        <w:rPr>
          <w:rFonts w:ascii="Arial" w:cs="Arial" w:eastAsia="Arial" w:hAnsi="Arial"/>
          <w:sz w:val="20"/>
          <w:szCs w:val="20"/>
        </w:rPr>
      </w:pPr>
      <w:r w:rsidDel="00000000" w:rsidR="00000000" w:rsidRPr="00000000">
        <w:rPr>
          <w:rFonts w:ascii="Arial" w:cs="Arial" w:eastAsia="Arial" w:hAnsi="Arial"/>
          <w:sz w:val="20"/>
          <w:szCs w:val="20"/>
          <w:rtl w:val="0"/>
        </w:rPr>
        <w:t xml:space="preserve">January 2025</w:t>
      </w:r>
    </w:p>
    <w:p w:rsidR="00000000" w:rsidDel="00000000" w:rsidP="00000000" w:rsidRDefault="00000000" w:rsidRPr="00000000" w14:paraId="0000000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Stellar Brings TMAX™ 16K Mechanic Truck and NXT18 Hooklift to The ARA Show™ 2025</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Garner, Iowa — (January 30</w:t>
      </w:r>
      <w:r w:rsidDel="00000000" w:rsidR="00000000" w:rsidRPr="00000000">
        <w:rPr>
          <w:rFonts w:ascii="Arial" w:cs="Arial" w:eastAsia="Arial" w:hAnsi="Arial"/>
          <w:b w:val="1"/>
          <w:sz w:val="22"/>
          <w:szCs w:val="22"/>
          <w:rtl w:val="0"/>
        </w:rPr>
        <w:t xml:space="preserve">, 2025) </w:t>
      </w:r>
      <w:r w:rsidDel="00000000" w:rsidR="00000000" w:rsidRPr="00000000">
        <w:rPr>
          <w:rFonts w:ascii="Arial" w:cs="Arial" w:eastAsia="Arial" w:hAnsi="Arial"/>
          <w:sz w:val="22"/>
          <w:szCs w:val="22"/>
          <w:rtl w:val="0"/>
        </w:rPr>
        <w:t xml:space="preserve">— </w:t>
      </w:r>
      <w:hyperlink r:id="rId8">
        <w:r w:rsidDel="00000000" w:rsidR="00000000" w:rsidRPr="00000000">
          <w:rPr>
            <w:rFonts w:ascii="Arial" w:cs="Arial" w:eastAsia="Arial" w:hAnsi="Arial"/>
            <w:color w:val="0563c1"/>
            <w:sz w:val="22"/>
            <w:szCs w:val="22"/>
            <w:u w:val="single"/>
            <w:rtl w:val="0"/>
          </w:rPr>
          <w:t xml:space="preserve">Stellar Industries</w:t>
        </w:r>
      </w:hyperlink>
      <w:r w:rsidDel="00000000" w:rsidR="00000000" w:rsidRPr="00000000">
        <w:rPr>
          <w:rFonts w:ascii="Arial" w:cs="Arial" w:eastAsia="Arial" w:hAnsi="Arial"/>
          <w:sz w:val="22"/>
          <w:szCs w:val="22"/>
          <w:rtl w:val="0"/>
        </w:rPr>
        <w:t xml:space="preserve">, a 100% employee-owned and -operated manufacturer of high-quality</w:t>
      </w:r>
      <w:hyperlink r:id="rId9">
        <w:r w:rsidDel="00000000" w:rsidR="00000000" w:rsidRPr="00000000">
          <w:rPr>
            <w:rFonts w:ascii="Arial" w:cs="Arial" w:eastAsia="Arial" w:hAnsi="Arial"/>
            <w:color w:val="0563c1"/>
            <w:sz w:val="22"/>
            <w:szCs w:val="22"/>
            <w:u w:val="single"/>
            <w:rtl w:val="0"/>
          </w:rPr>
          <w:t xml:space="preserve"> mechanic and service trucks</w:t>
        </w:r>
      </w:hyperlink>
      <w:r w:rsidDel="00000000" w:rsidR="00000000" w:rsidRPr="00000000">
        <w:rPr>
          <w:rFonts w:ascii="Arial" w:cs="Arial" w:eastAsia="Arial" w:hAnsi="Arial"/>
          <w:sz w:val="22"/>
          <w:szCs w:val="22"/>
          <w:rtl w:val="0"/>
        </w:rPr>
        <w:t xml:space="preserve">, </w:t>
      </w:r>
      <w:hyperlink r:id="rId10">
        <w:r w:rsidDel="00000000" w:rsidR="00000000" w:rsidRPr="00000000">
          <w:rPr>
            <w:rFonts w:ascii="Arial" w:cs="Arial" w:eastAsia="Arial" w:hAnsi="Arial"/>
            <w:color w:val="0563c1"/>
            <w:sz w:val="22"/>
            <w:szCs w:val="22"/>
            <w:u w:val="single"/>
            <w:rtl w:val="0"/>
          </w:rPr>
          <w:t xml:space="preserve">service cranes</w:t>
        </w:r>
      </w:hyperlink>
      <w:r w:rsidDel="00000000" w:rsidR="00000000" w:rsidRPr="00000000">
        <w:rPr>
          <w:rFonts w:ascii="Arial" w:cs="Arial" w:eastAsia="Arial" w:hAnsi="Arial"/>
          <w:sz w:val="22"/>
          <w:szCs w:val="22"/>
          <w:rtl w:val="0"/>
        </w:rPr>
        <w:t xml:space="preserve">, </w:t>
      </w:r>
      <w:hyperlink r:id="rId11">
        <w:r w:rsidDel="00000000" w:rsidR="00000000" w:rsidRPr="00000000">
          <w:rPr>
            <w:rFonts w:ascii="Arial" w:cs="Arial" w:eastAsia="Arial" w:hAnsi="Arial"/>
            <w:color w:val="0563c1"/>
            <w:sz w:val="22"/>
            <w:szCs w:val="22"/>
            <w:u w:val="single"/>
            <w:rtl w:val="0"/>
          </w:rPr>
          <w:t xml:space="preserve">service truck and van accessories</w:t>
        </w:r>
      </w:hyperlink>
      <w:r w:rsidDel="00000000" w:rsidR="00000000" w:rsidRPr="00000000">
        <w:rPr>
          <w:rFonts w:ascii="Arial" w:cs="Arial" w:eastAsia="Arial" w:hAnsi="Arial"/>
          <w:sz w:val="22"/>
          <w:szCs w:val="22"/>
          <w:rtl w:val="0"/>
        </w:rPr>
        <w:t xml:space="preserve">, </w:t>
      </w:r>
      <w:hyperlink r:id="rId12">
        <w:r w:rsidDel="00000000" w:rsidR="00000000" w:rsidRPr="00000000">
          <w:rPr>
            <w:rFonts w:ascii="Arial" w:cs="Arial" w:eastAsia="Arial" w:hAnsi="Arial"/>
            <w:color w:val="0563c1"/>
            <w:sz w:val="22"/>
            <w:szCs w:val="22"/>
            <w:u w:val="single"/>
            <w:rtl w:val="0"/>
          </w:rPr>
          <w:t xml:space="preserve">tire trucks and manipulators</w:t>
        </w:r>
      </w:hyperlink>
      <w:r w:rsidDel="00000000" w:rsidR="00000000" w:rsidRPr="00000000">
        <w:rPr>
          <w:rFonts w:ascii="Arial" w:cs="Arial" w:eastAsia="Arial" w:hAnsi="Arial"/>
          <w:sz w:val="22"/>
          <w:szCs w:val="22"/>
          <w:rtl w:val="0"/>
        </w:rPr>
        <w:t xml:space="preserve">,</w:t>
      </w:r>
      <w:hyperlink r:id="rId13">
        <w:r w:rsidDel="00000000" w:rsidR="00000000" w:rsidRPr="00000000">
          <w:rPr>
            <w:rFonts w:ascii="Arial" w:cs="Arial" w:eastAsia="Arial" w:hAnsi="Arial"/>
            <w:color w:val="0563c1"/>
            <w:sz w:val="22"/>
            <w:szCs w:val="22"/>
            <w:u w:val="single"/>
            <w:rtl w:val="0"/>
          </w:rPr>
          <w:t xml:space="preserve"> hooklifts</w:t>
        </w:r>
      </w:hyperlink>
      <w:r w:rsidDel="00000000" w:rsidR="00000000" w:rsidRPr="00000000">
        <w:rPr>
          <w:rFonts w:ascii="Arial" w:cs="Arial" w:eastAsia="Arial" w:hAnsi="Arial"/>
          <w:sz w:val="22"/>
          <w:szCs w:val="22"/>
          <w:rtl w:val="0"/>
        </w:rPr>
        <w:t xml:space="preserve">, </w:t>
      </w:r>
      <w:hyperlink r:id="rId14">
        <w:r w:rsidDel="00000000" w:rsidR="00000000" w:rsidRPr="00000000">
          <w:rPr>
            <w:rFonts w:ascii="Arial" w:cs="Arial" w:eastAsia="Arial" w:hAnsi="Arial"/>
            <w:color w:val="0563c1"/>
            <w:sz w:val="22"/>
            <w:szCs w:val="22"/>
            <w:u w:val="single"/>
            <w:rtl w:val="0"/>
          </w:rPr>
          <w:t xml:space="preserve">fuel and lube trucks</w:t>
        </w:r>
      </w:hyperlink>
      <w:r w:rsidDel="00000000" w:rsidR="00000000" w:rsidRPr="00000000">
        <w:rPr>
          <w:rFonts w:ascii="Arial" w:cs="Arial" w:eastAsia="Arial" w:hAnsi="Arial"/>
          <w:sz w:val="22"/>
          <w:szCs w:val="22"/>
          <w:rtl w:val="0"/>
        </w:rPr>
        <w:t xml:space="preserve">,</w:t>
      </w:r>
      <w:hyperlink r:id="rId15">
        <w:r w:rsidDel="00000000" w:rsidR="00000000" w:rsidRPr="00000000">
          <w:rPr>
            <w:rFonts w:ascii="Arial" w:cs="Arial" w:eastAsia="Arial" w:hAnsi="Arial"/>
            <w:color w:val="0563c1"/>
            <w:sz w:val="22"/>
            <w:szCs w:val="22"/>
            <w:u w:val="single"/>
            <w:rtl w:val="0"/>
          </w:rPr>
          <w:t xml:space="preserve"> trailers</w:t>
        </w:r>
      </w:hyperlink>
      <w:r w:rsidDel="00000000" w:rsidR="00000000" w:rsidRPr="00000000">
        <w:rPr>
          <w:rFonts w:ascii="Arial" w:cs="Arial" w:eastAsia="Arial" w:hAnsi="Arial"/>
          <w:sz w:val="22"/>
          <w:szCs w:val="22"/>
          <w:rtl w:val="0"/>
        </w:rPr>
        <w:t xml:space="preserve"> and more, is excited to have an impactful presence at The ARA Show 2025. Hosted by the American Rental Association, the show will take place January 30 to February 1, 2025, in Las Vegas. As a premier event in the rental industry, The ARA Show provides a valuable platform for industry professionals to connect, collaborate and explore the latest advancements in equipment technology.</w:t>
      </w:r>
    </w:p>
    <w:p w:rsidR="00000000" w:rsidDel="00000000" w:rsidP="00000000" w:rsidRDefault="00000000" w:rsidRPr="00000000" w14:paraId="0000000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rPr>
          <w:rFonts w:ascii="Arial" w:cs="Arial" w:eastAsia="Arial" w:hAnsi="Arial"/>
          <w:sz w:val="22"/>
          <w:szCs w:val="22"/>
        </w:rPr>
      </w:pPr>
      <w:r w:rsidDel="00000000" w:rsidR="00000000" w:rsidRPr="00000000">
        <w:rPr>
          <w:rFonts w:ascii="Arial" w:cs="Arial" w:eastAsia="Arial" w:hAnsi="Arial"/>
          <w:sz w:val="22"/>
          <w:szCs w:val="22"/>
          <w:rtl w:val="0"/>
        </w:rPr>
        <w:t xml:space="preserve">Attendees are invited to visit Stellar at booth #4565, where they can connect with Stellar’s knowledgeable team and experience firsthand the incredible quality and performance of Stellar’s industry-leading equipment.</w:t>
      </w:r>
    </w:p>
    <w:p w:rsidR="00000000" w:rsidDel="00000000" w:rsidP="00000000" w:rsidRDefault="00000000" w:rsidRPr="00000000" w14:paraId="0000000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rPr>
          <w:rFonts w:ascii="Arial" w:cs="Arial" w:eastAsia="Arial" w:hAnsi="Arial"/>
          <w:sz w:val="22"/>
          <w:szCs w:val="22"/>
        </w:rPr>
      </w:pPr>
      <w:r w:rsidDel="00000000" w:rsidR="00000000" w:rsidRPr="00000000">
        <w:rPr>
          <w:rFonts w:ascii="Arial" w:cs="Arial" w:eastAsia="Arial" w:hAnsi="Arial"/>
          <w:sz w:val="22"/>
          <w:szCs w:val="22"/>
          <w:rtl w:val="0"/>
        </w:rPr>
        <w:t xml:space="preserve">Tim Davison, Vice President of Sales and Marketing at Stellar, emphasized the importance of the show. “The ARA Show is a key opportunity for us to engage with rental industry professionals, better understand their challenges and showcase how our innovative solutions can support their success,” said Davison. “We’re looking forward to connecting with customers, building new relationships and demonstrating how Stellar equipment meets the rigorous demands of the rental industry.”</w:t>
      </w:r>
    </w:p>
    <w:p w:rsidR="00000000" w:rsidDel="00000000" w:rsidP="00000000" w:rsidRDefault="00000000" w:rsidRPr="00000000" w14:paraId="0000000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rPr>
          <w:rFonts w:ascii="Arial" w:cs="Arial" w:eastAsia="Arial" w:hAnsi="Arial"/>
          <w:sz w:val="22"/>
          <w:szCs w:val="22"/>
        </w:rPr>
      </w:pPr>
      <w:r w:rsidDel="00000000" w:rsidR="00000000" w:rsidRPr="00000000">
        <w:rPr>
          <w:rFonts w:ascii="Arial" w:cs="Arial" w:eastAsia="Arial" w:hAnsi="Arial"/>
          <w:sz w:val="22"/>
          <w:szCs w:val="22"/>
          <w:rtl w:val="0"/>
        </w:rPr>
        <w:t xml:space="preserve">The Stellar booth will feature two proven equipment solutions that have set industry standards for reliability, versatility and performance:</w:t>
      </w:r>
    </w:p>
    <w:p w:rsidR="00000000" w:rsidDel="00000000" w:rsidP="00000000" w:rsidRDefault="00000000" w:rsidRPr="00000000" w14:paraId="0000001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Stellar</w:t>
      </w:r>
      <w:r w:rsidDel="00000000" w:rsidR="00000000" w:rsidRPr="00000000">
        <w:rPr>
          <w:rFonts w:ascii="Arial" w:cs="Arial" w:eastAsia="Arial" w:hAnsi="Arial"/>
          <w:b w:val="1"/>
          <w:sz w:val="22"/>
          <w:szCs w:val="22"/>
          <w:vertAlign w:val="superscript"/>
          <w:rtl w:val="0"/>
        </w:rPr>
        <w:t xml:space="preserve">®</w:t>
      </w:r>
      <w:r w:rsidDel="00000000" w:rsidR="00000000" w:rsidRPr="00000000">
        <w:rPr>
          <w:rFonts w:ascii="Arial" w:cs="Arial" w:eastAsia="Arial" w:hAnsi="Arial"/>
          <w:b w:val="1"/>
          <w:sz w:val="22"/>
          <w:szCs w:val="22"/>
          <w:rtl w:val="0"/>
        </w:rPr>
        <w:t xml:space="preserve"> NXT18 Hooklift</w:t>
      </w:r>
      <w:r w:rsidDel="00000000" w:rsidR="00000000" w:rsidRPr="00000000">
        <w:rPr>
          <w:rFonts w:ascii="Arial" w:cs="Arial" w:eastAsia="Arial" w:hAnsi="Arial"/>
          <w:sz w:val="22"/>
          <w:szCs w:val="22"/>
          <w:rtl w:val="0"/>
        </w:rPr>
        <w:br w:type="textWrapping"/>
        <w:t xml:space="preserve">The NXT18 Hooklift redefines versatility and performance, making it an ideal solution for rental businesses managing multiple tasks, from hauling containers to transporting equipment. With its impressive 18,000-lb lifting capacity and class-leading 7.5" lost load height, the NXT18 is engineered to maximize efficiency on the jobsite.</w:t>
      </w:r>
    </w:p>
    <w:p w:rsidR="00000000" w:rsidDel="00000000" w:rsidP="00000000" w:rsidRDefault="00000000" w:rsidRPr="00000000" w14:paraId="0000001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rPr>
          <w:rFonts w:ascii="Arial" w:cs="Arial" w:eastAsia="Arial" w:hAnsi="Arial"/>
          <w:sz w:val="22"/>
          <w:szCs w:val="22"/>
        </w:rPr>
      </w:pPr>
      <w:r w:rsidDel="00000000" w:rsidR="00000000" w:rsidRPr="00000000">
        <w:rPr>
          <w:rFonts w:ascii="Arial" w:cs="Arial" w:eastAsia="Arial" w:hAnsi="Arial"/>
          <w:sz w:val="22"/>
          <w:szCs w:val="22"/>
          <w:rtl w:val="0"/>
        </w:rPr>
        <w:t xml:space="preserve">Designed for chassis with 84" to 120" CA lengths, the NXT18 accommodates 8' to 14' bodies with ease, offering rental operators unmatched adaptability. </w:t>
      </w:r>
      <w:r w:rsidDel="00000000" w:rsidR="00000000" w:rsidRPr="00000000">
        <w:rPr>
          <w:rFonts w:ascii="Arial" w:cs="Arial" w:eastAsia="Arial" w:hAnsi="Arial"/>
          <w:sz w:val="22"/>
          <w:szCs w:val="22"/>
          <w:highlight w:val="white"/>
          <w:rtl w:val="0"/>
        </w:rPr>
        <w:t xml:space="preserve">Whether it’s delivering equipment and supplies, transporting or collecting debris, or supporting construction or larger project tasks, </w:t>
      </w:r>
      <w:r w:rsidDel="00000000" w:rsidR="00000000" w:rsidRPr="00000000">
        <w:rPr>
          <w:rFonts w:ascii="Arial" w:cs="Arial" w:eastAsia="Arial" w:hAnsi="Arial"/>
          <w:sz w:val="22"/>
          <w:szCs w:val="22"/>
          <w:rtl w:val="0"/>
        </w:rPr>
        <w:t xml:space="preserve">the NXT18 provides seamless transitions between applications. </w:t>
      </w:r>
    </w:p>
    <w:p w:rsidR="00000000" w:rsidDel="00000000" w:rsidP="00000000" w:rsidRDefault="00000000" w:rsidRPr="00000000" w14:paraId="0000001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rPr>
          <w:rFonts w:ascii="Arial" w:cs="Arial" w:eastAsia="Arial" w:hAnsi="Arial"/>
          <w:sz w:val="22"/>
          <w:szCs w:val="22"/>
        </w:rPr>
      </w:pPr>
      <w:r w:rsidDel="00000000" w:rsidR="00000000" w:rsidRPr="00000000">
        <w:rPr>
          <w:rFonts w:ascii="Arial" w:cs="Arial" w:eastAsia="Arial" w:hAnsi="Arial"/>
          <w:sz w:val="22"/>
          <w:szCs w:val="22"/>
          <w:rtl w:val="0"/>
        </w:rPr>
        <w:t xml:space="preserve">Key features of the NXT18 Hooklift include:</w:t>
      </w:r>
    </w:p>
    <w:p w:rsidR="00000000" w:rsidDel="00000000" w:rsidP="00000000" w:rsidRDefault="00000000" w:rsidRPr="00000000" w14:paraId="00000017">
      <w:pPr>
        <w:numPr>
          <w:ilvl w:val="0"/>
          <w:numId w:val="2"/>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Radio remote controls: Enhance operator precision and efficiency, enabling streamlined loading and unloading.</w:t>
      </w:r>
    </w:p>
    <w:p w:rsidR="00000000" w:rsidDel="00000000" w:rsidP="00000000" w:rsidRDefault="00000000" w:rsidRPr="00000000" w14:paraId="00000018">
      <w:pPr>
        <w:numPr>
          <w:ilvl w:val="0"/>
          <w:numId w:val="2"/>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Bolt-on body lock system: Universal adjustment for both inside and outside locks, ensuring compatibility with a wide variety of body types.</w:t>
      </w:r>
    </w:p>
    <w:p w:rsidR="00000000" w:rsidDel="00000000" w:rsidP="00000000" w:rsidRDefault="00000000" w:rsidRPr="00000000" w14:paraId="00000019">
      <w:pPr>
        <w:numPr>
          <w:ilvl w:val="0"/>
          <w:numId w:val="2"/>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Durable design: Built to withstand heavy-duty tasks while requiring minimal maintenance.</w:t>
      </w:r>
    </w:p>
    <w:p w:rsidR="00000000" w:rsidDel="00000000" w:rsidP="00000000" w:rsidRDefault="00000000" w:rsidRPr="00000000" w14:paraId="0000001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rPr>
          <w:rFonts w:ascii="Arial" w:cs="Arial" w:eastAsia="Arial" w:hAnsi="Arial"/>
          <w:sz w:val="22"/>
          <w:szCs w:val="22"/>
        </w:rPr>
      </w:pPr>
      <w:r w:rsidDel="00000000" w:rsidR="00000000" w:rsidRPr="00000000">
        <w:rPr>
          <w:rFonts w:ascii="Arial" w:cs="Arial" w:eastAsia="Arial" w:hAnsi="Arial"/>
          <w:sz w:val="22"/>
          <w:szCs w:val="22"/>
          <w:rtl w:val="0"/>
        </w:rPr>
        <w:t xml:space="preserve">The NXT18 is the go-to solution for rental businesses looking to maximize uptime, streamline operations and enhance productivity.</w:t>
      </w:r>
    </w:p>
    <w:p w:rsidR="00000000" w:rsidDel="00000000" w:rsidP="00000000" w:rsidRDefault="00000000" w:rsidRPr="00000000" w14:paraId="0000001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D">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Stellar TMAX 16K Mechanic Truck Equipped with EC3200 Service Crane</w:t>
      </w:r>
      <w:r w:rsidDel="00000000" w:rsidR="00000000" w:rsidRPr="00000000">
        <w:rPr>
          <w:rFonts w:ascii="Arial" w:cs="Arial" w:eastAsia="Arial" w:hAnsi="Arial"/>
          <w:sz w:val="22"/>
          <w:szCs w:val="22"/>
          <w:rtl w:val="0"/>
        </w:rPr>
        <w:br w:type="textWrapping"/>
        <w:t xml:space="preserve">The TMAX 16K Aluminum Mechanic Truck is built to deliver uncompromising performance for rental businesses needing reliable field service solutions. Its lightweight yet durable aluminum body resists corrosion and increases payload capacity, making it a long-term asset for demanding environments. The body’s robust construction, along with Stellar’s precision engineering, ensures it withstands heavy workloads while reducing maintenance costs.</w:t>
      </w:r>
    </w:p>
    <w:p w:rsidR="00000000" w:rsidDel="00000000" w:rsidP="00000000" w:rsidRDefault="00000000" w:rsidRPr="00000000" w14:paraId="0000001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rPr>
          <w:rFonts w:ascii="Arial" w:cs="Arial" w:eastAsia="Arial" w:hAnsi="Arial"/>
          <w:sz w:val="22"/>
          <w:szCs w:val="22"/>
        </w:rPr>
      </w:pPr>
      <w:r w:rsidDel="00000000" w:rsidR="00000000" w:rsidRPr="00000000">
        <w:rPr>
          <w:rFonts w:ascii="Arial" w:cs="Arial" w:eastAsia="Arial" w:hAnsi="Arial"/>
          <w:sz w:val="22"/>
          <w:szCs w:val="22"/>
          <w:rtl w:val="0"/>
        </w:rPr>
        <w:t xml:space="preserve">The integrated EC3200 Electric Service Crane offers a 3,200-lb lifting capacity with a 15' horizontal reach, perfect for lifting heavy components like engines, attachments and repair tools. The crane’s electric operation eliminates the need for hydraulic pumps, significantly reducing noise levels and fuel consumption. This makes the EC3200 an eco-friendly and efficient choice for field repairs, especially in urban or noise-restricted environments. What’s more, </w:t>
      </w:r>
      <w:r w:rsidDel="00000000" w:rsidR="00000000" w:rsidRPr="00000000">
        <w:rPr>
          <w:rFonts w:ascii="Arial" w:cs="Arial" w:eastAsia="Arial" w:hAnsi="Arial"/>
          <w:sz w:val="22"/>
          <w:szCs w:val="22"/>
          <w:highlight w:val="white"/>
          <w:rtl w:val="0"/>
        </w:rPr>
        <w:t xml:space="preserve">EC3200 Electric Service Cranes are available in both steel and aluminum. The aluminum model that will be on display at The ARA Show is 230 lbs lighter, making it a great choice for increasing payload on a mechanic truck.</w:t>
      </w:r>
      <w:r w:rsidDel="00000000" w:rsidR="00000000" w:rsidRPr="00000000">
        <w:rPr>
          <w:rtl w:val="0"/>
        </w:rPr>
      </w:r>
    </w:p>
    <w:p w:rsidR="00000000" w:rsidDel="00000000" w:rsidP="00000000" w:rsidRDefault="00000000" w:rsidRPr="00000000" w14:paraId="0000002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rPr>
          <w:rFonts w:ascii="Arial" w:cs="Arial" w:eastAsia="Arial" w:hAnsi="Arial"/>
          <w:sz w:val="22"/>
          <w:szCs w:val="22"/>
        </w:rPr>
      </w:pPr>
      <w:r w:rsidDel="00000000" w:rsidR="00000000" w:rsidRPr="00000000">
        <w:rPr>
          <w:rFonts w:ascii="Arial" w:cs="Arial" w:eastAsia="Arial" w:hAnsi="Arial"/>
          <w:sz w:val="22"/>
          <w:szCs w:val="22"/>
          <w:rtl w:val="0"/>
        </w:rPr>
        <w:t xml:space="preserve">Additional features of the TMAX 16K Mechanic Truck include:</w:t>
      </w:r>
    </w:p>
    <w:p w:rsidR="00000000" w:rsidDel="00000000" w:rsidP="00000000" w:rsidRDefault="00000000" w:rsidRPr="00000000" w14:paraId="00000022">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Integrated tool storage compartments for easy access to equipment</w:t>
      </w:r>
    </w:p>
    <w:p w:rsidR="00000000" w:rsidDel="00000000" w:rsidP="00000000" w:rsidRDefault="00000000" w:rsidRPr="00000000" w14:paraId="00000023">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Stellar’s torq-isolator crane support system for stability during lifting</w:t>
      </w:r>
    </w:p>
    <w:p w:rsidR="00000000" w:rsidDel="00000000" w:rsidP="00000000" w:rsidRDefault="00000000" w:rsidRPr="00000000" w14:paraId="00000024">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LED lighting to improve visibility in low-light conditions</w:t>
      </w:r>
    </w:p>
    <w:p w:rsidR="00000000" w:rsidDel="00000000" w:rsidP="00000000" w:rsidRDefault="00000000" w:rsidRPr="00000000" w14:paraId="0000002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Don’t Miss Stellar at Booth #4565</w:t>
      </w:r>
      <w:r w:rsidDel="00000000" w:rsidR="00000000" w:rsidRPr="00000000">
        <w:rPr>
          <w:rFonts w:ascii="Arial" w:cs="Arial" w:eastAsia="Arial" w:hAnsi="Arial"/>
          <w:sz w:val="22"/>
          <w:szCs w:val="22"/>
          <w:rtl w:val="0"/>
        </w:rPr>
        <w:br w:type="textWrapping"/>
        <w:t xml:space="preserve">See Stellar’s cutting-edge equipment firsthand and discover how the NXT18 Hooklift and TMAX 16K Mechanic Truck can optimize your rental operations. Connect with Stellar representatives at the show or visit </w:t>
      </w:r>
      <w:hyperlink r:id="rId16">
        <w:r w:rsidDel="00000000" w:rsidR="00000000" w:rsidRPr="00000000">
          <w:rPr>
            <w:rFonts w:ascii="Arial" w:cs="Arial" w:eastAsia="Arial" w:hAnsi="Arial"/>
            <w:color w:val="0000ff"/>
            <w:sz w:val="22"/>
            <w:szCs w:val="22"/>
            <w:u w:val="single"/>
            <w:rtl w:val="0"/>
          </w:rPr>
          <w:t xml:space="preserve">stellarindustries.com</w:t>
        </w:r>
      </w:hyperlink>
      <w:r w:rsidDel="00000000" w:rsidR="00000000" w:rsidRPr="00000000">
        <w:rPr>
          <w:rFonts w:ascii="Arial" w:cs="Arial" w:eastAsia="Arial" w:hAnsi="Arial"/>
          <w:sz w:val="22"/>
          <w:szCs w:val="22"/>
          <w:rtl w:val="0"/>
        </w:rPr>
        <w:t xml:space="preserve"> to learn more.</w:t>
      </w:r>
    </w:p>
    <w:p w:rsidR="00000000" w:rsidDel="00000000" w:rsidP="00000000" w:rsidRDefault="00000000" w:rsidRPr="00000000" w14:paraId="00000027">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28">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2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p>
    <w:p w:rsidR="00000000" w:rsidDel="00000000" w:rsidP="00000000" w:rsidRDefault="00000000" w:rsidRPr="00000000" w14:paraId="0000002B">
      <w:pPr>
        <w:rPr>
          <w:rFonts w:ascii="Arial" w:cs="Arial" w:eastAsia="Arial" w:hAnsi="Arial"/>
          <w:sz w:val="21"/>
          <w:szCs w:val="21"/>
        </w:rPr>
      </w:pPr>
      <w:r w:rsidDel="00000000" w:rsidR="00000000" w:rsidRPr="00000000">
        <w:rPr>
          <w:rtl w:val="0"/>
        </w:rPr>
      </w:r>
    </w:p>
    <w:sectPr>
      <w:headerReference r:id="rId17" w:type="default"/>
      <w:headerReference r:id="rId18" w:type="first"/>
      <w:headerReference r:id="rId19" w:type="even"/>
      <w:footerReference r:id="rId20" w:type="default"/>
      <w:footerReference r:id="rId21" w:type="first"/>
      <w:footerReference r:id="rId22"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0" name="image2.png"/>
          <a:graphic>
            <a:graphicData uri="http://schemas.openxmlformats.org/drawingml/2006/picture">
              <pic:pic>
                <pic:nvPicPr>
                  <pic:cNvPr id="0" name="image2.png"/>
                  <pic:cNvPicPr preferRelativeResize="0"/>
                </pic:nvPicPr>
                <pic:blipFill>
                  <a:blip r:embed="rId1"/>
                  <a:srcRect b="-15978" l="3666" r="0" t="0"/>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32">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rFonts w:ascii="Calibri" w:cs="Calibri" w:eastAsia="Calibri" w:hAnsi="Calibri"/>
      <w:b w:val="1"/>
      <w:sz w:val="36"/>
      <w:szCs w:val="36"/>
    </w:rPr>
  </w:style>
  <w:style w:type="paragraph" w:styleId="Heading3">
    <w:name w:val="heading 3"/>
    <w:basedOn w:val="Normal"/>
    <w:next w:val="Normal"/>
    <w:pPr>
      <w:keepNext w:val="1"/>
      <w:keepLines w:val="1"/>
      <w:spacing w:after="80" w:before="280" w:lineRule="auto"/>
    </w:pPr>
    <w:rPr>
      <w:rFonts w:ascii="Calibri" w:cs="Calibri" w:eastAsia="Calibri" w:hAnsi="Calibri"/>
      <w:b w:val="1"/>
      <w:sz w:val="28"/>
      <w:szCs w:val="28"/>
    </w:rPr>
  </w:style>
  <w:style w:type="paragraph" w:styleId="Heading4">
    <w:name w:val="heading 4"/>
    <w:basedOn w:val="Normal"/>
    <w:next w:val="Normal"/>
    <w:pPr>
      <w:keepNext w:val="1"/>
      <w:keepLines w:val="1"/>
      <w:spacing w:after="40" w:before="240" w:lineRule="auto"/>
    </w:pPr>
    <w:rPr>
      <w:rFonts w:ascii="Calibri" w:cs="Calibri" w:eastAsia="Calibri" w:hAnsi="Calibri"/>
      <w:b w:val="1"/>
    </w:rPr>
  </w:style>
  <w:style w:type="paragraph" w:styleId="Heading5">
    <w:name w:val="heading 5"/>
    <w:basedOn w:val="Normal"/>
    <w:next w:val="Normal"/>
    <w:pPr>
      <w:keepNext w:val="1"/>
      <w:keepLines w:val="1"/>
      <w:spacing w:after="40" w:before="220" w:lineRule="auto"/>
    </w:pPr>
    <w:rPr>
      <w:rFonts w:ascii="Calibri" w:cs="Calibri" w:eastAsia="Calibri" w:hAnsi="Calibri"/>
      <w:b w:val="1"/>
      <w:sz w:val="22"/>
      <w:szCs w:val="22"/>
    </w:rPr>
  </w:style>
  <w:style w:type="paragraph" w:styleId="Heading6">
    <w:name w:val="heading 6"/>
    <w:basedOn w:val="Normal"/>
    <w:next w:val="Normal"/>
    <w:pPr>
      <w:keepNext w:val="1"/>
      <w:keepLines w:val="1"/>
      <w:spacing w:after="40" w:before="200" w:lineRule="auto"/>
    </w:pPr>
    <w:rPr>
      <w:rFonts w:ascii="Calibri" w:cs="Calibri" w:eastAsia="Calibri" w:hAnsi="Calibri"/>
      <w:b w:val="1"/>
      <w:sz w:val="20"/>
      <w:szCs w:val="20"/>
    </w:rPr>
  </w:style>
  <w:style w:type="paragraph" w:styleId="Title">
    <w:name w:val="Title"/>
    <w:basedOn w:val="Normal"/>
    <w:next w:val="Normal"/>
    <w:pPr>
      <w:keepNext w:val="1"/>
      <w:keepLines w:val="1"/>
      <w:spacing w:after="120" w:before="480" w:lineRule="auto"/>
    </w:pPr>
    <w:rPr>
      <w:rFonts w:ascii="Calibri" w:cs="Calibri" w:eastAsia="Calibri" w:hAnsi="Calibri"/>
      <w:b w:val="1"/>
      <w:sz w:val="72"/>
      <w:szCs w:val="72"/>
    </w:rPr>
  </w:style>
  <w:style w:type="paragraph" w:styleId="Normal" w:default="1">
    <w:name w:val="Normal"/>
    <w:qFormat w:val="1"/>
    <w:rsid w:val="00C56F39"/>
    <w:rPr>
      <w:rFonts w:ascii="Times New Roman" w:cs="Times New Roman" w:eastAsia="Times New Roman" w:hAnsi="Times New Roman"/>
    </w:rPr>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rFonts w:ascii="Calibri" w:cs="Calibri" w:eastAsia="Calibri" w:hAnsi="Calibri"/>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rFonts w:ascii="Calibri" w:cs="Calibri" w:eastAsia="Calibri" w:hAnsi="Calibri"/>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rFonts w:ascii="Calibri" w:cs="Calibri" w:eastAsia="Calibri" w:hAnsi="Calibri"/>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rFonts w:ascii="Calibri" w:cs="Calibri" w:eastAsia="Calibri" w:hAnsi="Calibri"/>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rFonts w:ascii="Calibri" w:cs="Calibri" w:eastAsia="Calibri" w:hAnsi="Calibri"/>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rFonts w:ascii="Calibri" w:cs="Calibri" w:eastAsia="Calibri" w:hAnsi="Calibri"/>
      <w:b w:val="1"/>
      <w:sz w:val="72"/>
      <w:szCs w:val="72"/>
    </w:rPr>
  </w:style>
  <w:style w:type="paragraph" w:styleId="Header">
    <w:name w:val="header"/>
    <w:basedOn w:val="Normal"/>
    <w:link w:val="HeaderChar"/>
    <w:uiPriority w:val="99"/>
    <w:unhideWhenUsed w:val="1"/>
    <w:rsid w:val="000714C2"/>
    <w:pPr>
      <w:tabs>
        <w:tab w:val="center" w:pos="4680"/>
        <w:tab w:val="right" w:pos="9360"/>
      </w:tabs>
    </w:pPr>
    <w:rPr>
      <w:rFonts w:ascii="Calibri" w:cs="Calibri" w:eastAsia="Calibri" w:hAnsi="Calibri"/>
    </w:r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rPr>
      <w:rFonts w:ascii="Calibri" w:cs="Calibri" w:eastAsia="Calibri" w:hAnsi="Calibri"/>
    </w:r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character" w:styleId="Hyperlink">
    <w:name w:val="Hyperlink"/>
    <w:basedOn w:val="DefaultParagraphFont"/>
    <w:uiPriority w:val="99"/>
    <w:unhideWhenUsed w:val="1"/>
    <w:rsid w:val="0012238B"/>
    <w:rPr>
      <w:color w:val="0563c1" w:themeColor="hyperlink"/>
      <w:u w:val="single"/>
    </w:rPr>
  </w:style>
  <w:style w:type="character" w:styleId="UnresolvedMention">
    <w:name w:val="Unresolved Mention"/>
    <w:basedOn w:val="DefaultParagraphFont"/>
    <w:uiPriority w:val="99"/>
    <w:semiHidden w:val="1"/>
    <w:unhideWhenUsed w:val="1"/>
    <w:rsid w:val="0012238B"/>
    <w:rPr>
      <w:color w:val="605e5c"/>
      <w:shd w:color="auto" w:fill="e1dfdd" w:val="clear"/>
    </w:rPr>
  </w:style>
  <w:style w:type="character" w:styleId="FollowedHyperlink">
    <w:name w:val="FollowedHyperlink"/>
    <w:basedOn w:val="DefaultParagraphFont"/>
    <w:uiPriority w:val="99"/>
    <w:semiHidden w:val="1"/>
    <w:unhideWhenUsed w:val="1"/>
    <w:rsid w:val="0012238B"/>
    <w:rPr>
      <w:color w:val="954f72" w:themeColor="followedHyperlink"/>
      <w:u w:val="single"/>
    </w:rPr>
  </w:style>
  <w:style w:type="paragraph" w:styleId="ListParagraph">
    <w:name w:val="List Paragraph"/>
    <w:basedOn w:val="Normal"/>
    <w:uiPriority w:val="34"/>
    <w:qFormat w:val="1"/>
    <w:rsid w:val="00716570"/>
    <w:pPr>
      <w:ind w:left="720"/>
      <w:contextualSpacing w:val="1"/>
    </w:pPr>
    <w:rPr>
      <w:rFonts w:ascii="Calibri" w:cs="Calibri" w:eastAsia="Calibri" w:hAnsi="Calibri"/>
    </w:rPr>
  </w:style>
  <w:style w:type="character" w:styleId="Strong">
    <w:name w:val="Strong"/>
    <w:basedOn w:val="DefaultParagraphFont"/>
    <w:uiPriority w:val="22"/>
    <w:qFormat w:val="1"/>
    <w:rsid w:val="00C56F39"/>
    <w:rPr>
      <w:b w:val="1"/>
      <w:bCs w:val="1"/>
    </w:rPr>
  </w:style>
  <w:style w:type="paragraph" w:styleId="NoSpacing">
    <w:name w:val="No Spacing"/>
    <w:uiPriority w:val="1"/>
    <w:qFormat w:val="1"/>
    <w:rsid w:val="00C56F39"/>
    <w:rPr>
      <w:rFonts w:ascii="Times New Roman" w:cs="Times New Roman" w:eastAsia="Times New Roman" w:hAnsi="Times New Roman"/>
    </w:rPr>
  </w:style>
  <w:style w:type="paragraph" w:styleId="NormalWeb">
    <w:name w:val="Normal (Web)"/>
    <w:basedOn w:val="Normal"/>
    <w:uiPriority w:val="99"/>
    <w:semiHidden w:val="1"/>
    <w:unhideWhenUsed w:val="1"/>
    <w:rsid w:val="007B666E"/>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s://www.stellarindustries.com/product-category/service-truck-van-accessories/" TargetMode="External"/><Relationship Id="rId22" Type="http://schemas.openxmlformats.org/officeDocument/2006/relationships/footer" Target="footer1.xml"/><Relationship Id="rId10" Type="http://schemas.openxmlformats.org/officeDocument/2006/relationships/hyperlink" Target="https://www.stellarindustries.com/product-category/service-cranes/" TargetMode="External"/><Relationship Id="rId21" Type="http://schemas.openxmlformats.org/officeDocument/2006/relationships/footer" Target="footer3.xml"/><Relationship Id="rId13" Type="http://schemas.openxmlformats.org/officeDocument/2006/relationships/hyperlink" Target="https://www.stellarindustries.com/product-category/hooklift-roll-off-container-trucks/" TargetMode="External"/><Relationship Id="rId12" Type="http://schemas.openxmlformats.org/officeDocument/2006/relationships/hyperlink" Target="https://www.stellarindustries.com/product-category/tire-trucks-manipulato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category/mechanic-service-trucks/" TargetMode="External"/><Relationship Id="rId15" Type="http://schemas.openxmlformats.org/officeDocument/2006/relationships/hyperlink" Target="https://www.stellarindustries.com/products/" TargetMode="External"/><Relationship Id="rId14" Type="http://schemas.openxmlformats.org/officeDocument/2006/relationships/hyperlink" Target="https://www.elliottmachine.com/products.html" TargetMode="External"/><Relationship Id="rId17" Type="http://schemas.openxmlformats.org/officeDocument/2006/relationships/header" Target="header2.xml"/><Relationship Id="rId16" Type="http://schemas.openxmlformats.org/officeDocument/2006/relationships/hyperlink" Target="http://www.stellarindustries.com"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eader" Target="header3.xml"/><Relationship Id="rId7" Type="http://schemas.openxmlformats.org/officeDocument/2006/relationships/hyperlink" Target="mailto:macym@anthologic.com" TargetMode="External"/><Relationship Id="rId8" Type="http://schemas.openxmlformats.org/officeDocument/2006/relationships/hyperlink" Target="https://www.stellarindustrie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VXUyDFmIPoATboXtDgDaCVHrMQ==">CgMxLjA4AHIhMTdMeVJXTWhMd0F4ZS1XeHljLXFFd1NZZC1zVVNSWm1P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2024-12-30T15:33:00Z</dcterms:created>
  <dc:creator>Kelsey Meyer</dc:creator>
</cp:coreProperties>
</file>